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eastAsia="方正小标宋简体"/>
          <w:bCs/>
          <w:snapToGrid w:val="0"/>
          <w:kern w:val="0"/>
          <w:sz w:val="44"/>
          <w:szCs w:val="36"/>
          <w:lang w:eastAsia="zh-CN"/>
        </w:rPr>
      </w:pPr>
      <w:r>
        <w:rPr>
          <w:rFonts w:hint="eastAsia" w:ascii="方正小标宋简体" w:eastAsia="方正小标宋简体"/>
          <w:bCs/>
          <w:snapToGrid w:val="0"/>
          <w:kern w:val="0"/>
          <w:sz w:val="44"/>
          <w:szCs w:val="36"/>
        </w:rPr>
        <w:t>广东省基础与应用基础研究基金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36"/>
          <w:lang w:eastAsia="zh-CN"/>
        </w:rPr>
        <w:t>佛山市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Cs/>
          <w:snapToGrid w:val="0"/>
          <w:kern w:val="0"/>
          <w:sz w:val="44"/>
          <w:szCs w:val="36"/>
          <w:lang w:eastAsia="zh-CN"/>
        </w:rPr>
        <w:t>联合基金简介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为深入实施创新驱动发展战略，支撑粤港澳大湾区国际科技创新中心建设，2019年起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佛山市政府与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省科技厅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省基金委签订三年协议，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成立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广东省基础研究与应用基础研究基金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佛山市联合基金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（以下简称“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粤佛联合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基金”）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双方约定每年投入4000万元，总共投入1.2亿元，围绕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佛山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经济社会创新发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展中的原创性科学问题开展基础与应用基础研究。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021年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，我市与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省科技厅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省基金委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续签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三年协议，双方约定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2022-2024年，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每年投入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6000万元（其中我市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00万元，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省厅投入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1500万元），三年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总共投入1.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继续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佛山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经济社会创新发展中的原创性科学问题开展基础与应用基础研究。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粤佛联合基金是省基金的组成部分，遵循“省市联合、立足佛山、面向全国、公平竞争”的原则，按照省基金运行机制和有关管理规定执行。粤佛联合基金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2022年起，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设立青年基金项目、地区培育项目、重点项目、粤港澳研究团队项目四类。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青年基金项目。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每项资助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10万元。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支持青年科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人员在基金资助范围内自主选题开展基础与应用基础研究，培养青年科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人员独立承担科研项目、进行创新研究的能力，激发青年科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人员的创新思维，培育基础研究后继人才队伍。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eastAsia="zh-CN"/>
        </w:rPr>
        <w:t>地区培育项目。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每项资助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30万元。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支持科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人员围绕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佛山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产业与区域创新发展需求，针对已有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一定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基础的研究方向开展深入、系统的创新性研究，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开展基础性、前沿性研究，进一步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提升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）重点项目。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每项资助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100万元。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支持科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人员围绕粤港澳大湾区产业与区域创新发展需求，针对已有较好基础的研究方向或学科生长点开展深入、系统的创新性研究，重点支持应用基础研究，促进学科发展，突破地方和产业创新发展的重大科学问题，提升原始创新能力和国际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）粤港澳研究团队项目。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支持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研究团队围绕粤港澳大湾区创新发展需求，在科技前沿领域支持粤港澳科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人员联合组建研究团队开展基础与应用基础研究，培育国际化研究团队，提升粤港澳基础研究合作水平，助力粤港澳大湾区国际科技创新中心建设。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粤佛联合基金自2019年运行以来，我市各高校、医院、科研院所、龙头企业等单位积极申报，经省基金委统一评审，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我市共获得资助金额13580万元，其中青年基金项目481项，地区培育101项，重点项目51项，粤港澳团队项目3项。通过项目的组织与实施，有效激发了科研人员从事基础与应用基础研究的积极性，培养了一批优秀科研人才，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为佛山进一步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吸引和凝聚全省优势研究力量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、提升原始创新能力奠定了良好的基础。</w:t>
      </w:r>
    </w:p>
    <w:sectPr>
      <w:headerReference r:id="rId3" w:type="default"/>
      <w:footerReference r:id="rId4" w:type="default"/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FF545"/>
    <w:multiLevelType w:val="singleLevel"/>
    <w:tmpl w:val="E76FF5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6222F"/>
    <w:rsid w:val="39326FD7"/>
    <w:rsid w:val="3CDA028C"/>
    <w:rsid w:val="47D027AC"/>
    <w:rsid w:val="5AE160DB"/>
    <w:rsid w:val="67E15592"/>
    <w:rsid w:val="70A83094"/>
    <w:rsid w:val="7F6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1041</Characters>
  <Lines>0</Lines>
  <Paragraphs>0</Paragraphs>
  <TotalTime>14</TotalTime>
  <ScaleCrop>false</ScaleCrop>
  <LinksUpToDate>false</LinksUpToDate>
  <CharactersWithSpaces>1041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kjj</dc:creator>
  <cp:lastModifiedBy>初某某</cp:lastModifiedBy>
  <dcterms:modified xsi:type="dcterms:W3CDTF">2023-01-03T06:11:32Z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D14D37A5459645678D020B5FEACAD93E</vt:lpwstr>
  </property>
</Properties>
</file>